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福山区人力资源和社会保障局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关于本区监管劳务派遣单位经营情况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核验监督结果的公示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根据《劳务派遣行政许可实施办法》（人力资源社会保障部令第19号）第二十二、二十三条规定，福山区人力资源和社会保障局对区级监管的劳务派遣单位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及劳务派遣分公司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年度劳务派遣经营情况进行了核验，现将核验合格的劳务派遣单位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及劳务派遣分公司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名单公示如下：</w:t>
      </w:r>
    </w:p>
    <w:tbl>
      <w:tblPr>
        <w:tblStyle w:val="6"/>
        <w:tblpPr w:leftFromText="180" w:rightFromText="180" w:vertAnchor="text" w:horzAnchor="page" w:tblpX="2415" w:tblpY="5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9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烟台福地人力资源有限公司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山东福莱人力资源有限公司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烟台市安福人力资源顾问有限公司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烟台三立人力资源信息咨询有限公司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山东天楹人力资源有限公司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烟台森诚人力资源有限公司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烟台铭杰人力资源有限公司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烟台诚佳人力资源有限公司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烟台意和人力资源信息咨询有限公司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山东百卓管理服务有限公司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山东鲁博企业管理咨询有限公司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烟台慧达人力资源有限公司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烟台元华人力资源信息咨询有限公司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烟台奥洋国际船舶管理有限公司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烟台市君程人力资源管理有限公司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烟台东森企业管理服务有限公司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烟台映彤人力资源有限公司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烟台安弘人力资源有限公司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烟台卓服企业管理咨询有限公司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烟台宝久钢管有限公司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烟台智腾人力资源有限公司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山东新顺人力资源有限公司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烟台美路来人力资源有限公司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烟台百孝人力资源管理有限公司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烟台共赢人力资源有限公司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山东浩博人力资源有限公司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烟台沃达人力资源有限公司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烟台浩众人力资源有限公司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烟台华邦商务服务有限公司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烟台东方俊贤人力资源有限公司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烟台海思人力资源有限公司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烟台瑞鑫裕腾人力资源有限公司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烟台锦宏人力资源信息咨询有限公司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烟台智择人力资源有限公司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烟台聚德人力资源有限公司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山东太平洋海洋工程有限公司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烟台业联人力资源有限公司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烟台市福城地质勘探有限公司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烟台三盛人力资源有限公司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青岛聚朋人力资源有限公司福山分公司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山东昊展人力资源有限公司福山分公司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烟台永盛人力资源有限公司福山分公司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  <w:t>山东联通人力资源服务股份有限公司烟台福山分公司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烟台求职无忧人力资源有限公司福山分公司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烟台盛弘人力资源服务有限公司烟台分公司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淘工作（山东）人力资源有限公司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众腾人力资源集团有限公司福山分公司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烟台和联人力资源有限公司福山分公司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49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江苏省外事服务中心有限公司烟台分部</w:t>
            </w:r>
          </w:p>
        </w:tc>
      </w:tr>
    </w:tbl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烟台市</w:t>
      </w:r>
      <w:r>
        <w:rPr>
          <w:rFonts w:hint="eastAsia" w:ascii="仿宋_GB2312" w:hAnsi="仿宋_GB2312" w:eastAsia="仿宋_GB2312" w:cs="仿宋_GB2312"/>
          <w:sz w:val="32"/>
          <w:szCs w:val="32"/>
        </w:rPr>
        <w:t>福山区人力资源和社会保障局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63"/>
        </w:tabs>
        <w:ind w:firstLine="1232" w:firstLineChars="40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（联系部门：劳动关系科，电话：0535-6999757）</w:t>
      </w:r>
    </w:p>
    <w:p>
      <w:pPr>
        <w:tabs>
          <w:tab w:val="left" w:pos="7663"/>
        </w:tabs>
        <w:ind w:firstLine="912" w:firstLineChars="400"/>
        <w:jc w:val="left"/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</w:rPr>
      </w:pPr>
    </w:p>
    <w:p>
      <w:pPr>
        <w:tabs>
          <w:tab w:val="left" w:pos="7663"/>
        </w:tabs>
        <w:jc w:val="left"/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  <w:lang w:eastAsia="zh-CN"/>
        </w:rPr>
        <w:t>公示网址：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  <w:lang w:eastAsia="zh-CN"/>
        </w:rPr>
        <w:t>https://www.ytfushan.gov.cn/art/2024/5/22/art_13662_2941936.html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E2Y2MwYWNmNTdkYzg3ZjlkYzAzMGEzYjE0YjllNmQifQ=="/>
  </w:docVars>
  <w:rsids>
    <w:rsidRoot w:val="00FC42E2"/>
    <w:rsid w:val="000F0513"/>
    <w:rsid w:val="0012558A"/>
    <w:rsid w:val="00127400"/>
    <w:rsid w:val="001F3C19"/>
    <w:rsid w:val="002A1EDF"/>
    <w:rsid w:val="003D31A8"/>
    <w:rsid w:val="003E643C"/>
    <w:rsid w:val="00417651"/>
    <w:rsid w:val="004A5FA9"/>
    <w:rsid w:val="004F5C9B"/>
    <w:rsid w:val="005435C5"/>
    <w:rsid w:val="005A6EFE"/>
    <w:rsid w:val="0062156C"/>
    <w:rsid w:val="00627528"/>
    <w:rsid w:val="006665F7"/>
    <w:rsid w:val="00670979"/>
    <w:rsid w:val="006B28C7"/>
    <w:rsid w:val="00714CDD"/>
    <w:rsid w:val="00770879"/>
    <w:rsid w:val="007E1E60"/>
    <w:rsid w:val="00872E15"/>
    <w:rsid w:val="008860D3"/>
    <w:rsid w:val="008C5F5C"/>
    <w:rsid w:val="008F6831"/>
    <w:rsid w:val="00994EEE"/>
    <w:rsid w:val="009C7149"/>
    <w:rsid w:val="009E1C41"/>
    <w:rsid w:val="00A83327"/>
    <w:rsid w:val="00AA5456"/>
    <w:rsid w:val="00AA6E99"/>
    <w:rsid w:val="00AC38C9"/>
    <w:rsid w:val="00C41228"/>
    <w:rsid w:val="00CC2ABE"/>
    <w:rsid w:val="00D40C67"/>
    <w:rsid w:val="00DA414B"/>
    <w:rsid w:val="00E34D04"/>
    <w:rsid w:val="00E9488D"/>
    <w:rsid w:val="00EA347F"/>
    <w:rsid w:val="00F6556D"/>
    <w:rsid w:val="00FC42E2"/>
    <w:rsid w:val="06051FF8"/>
    <w:rsid w:val="077D73AB"/>
    <w:rsid w:val="08CB5D41"/>
    <w:rsid w:val="09781747"/>
    <w:rsid w:val="09F1707D"/>
    <w:rsid w:val="0A5A002E"/>
    <w:rsid w:val="0DAD5625"/>
    <w:rsid w:val="12714236"/>
    <w:rsid w:val="1384260C"/>
    <w:rsid w:val="13F23672"/>
    <w:rsid w:val="16F400E4"/>
    <w:rsid w:val="199A73A1"/>
    <w:rsid w:val="1D306632"/>
    <w:rsid w:val="24511183"/>
    <w:rsid w:val="282B78BC"/>
    <w:rsid w:val="29054CB4"/>
    <w:rsid w:val="2A474831"/>
    <w:rsid w:val="2C7A5628"/>
    <w:rsid w:val="2F4229C5"/>
    <w:rsid w:val="33064ECB"/>
    <w:rsid w:val="34D05108"/>
    <w:rsid w:val="35BF457E"/>
    <w:rsid w:val="39C34CDF"/>
    <w:rsid w:val="3AF60B54"/>
    <w:rsid w:val="3FAD4B2B"/>
    <w:rsid w:val="443C7F91"/>
    <w:rsid w:val="46BE5E73"/>
    <w:rsid w:val="47415C9D"/>
    <w:rsid w:val="48E742F2"/>
    <w:rsid w:val="4F754C21"/>
    <w:rsid w:val="50087581"/>
    <w:rsid w:val="52D6450F"/>
    <w:rsid w:val="54C01CCA"/>
    <w:rsid w:val="5B232049"/>
    <w:rsid w:val="607239D3"/>
    <w:rsid w:val="63035132"/>
    <w:rsid w:val="66AB12F8"/>
    <w:rsid w:val="6BBC12D5"/>
    <w:rsid w:val="6D0F205B"/>
    <w:rsid w:val="6D78002D"/>
    <w:rsid w:val="6FFB473D"/>
    <w:rsid w:val="739623EE"/>
    <w:rsid w:val="73C1125A"/>
    <w:rsid w:val="781B5BE3"/>
    <w:rsid w:val="7A165CD2"/>
    <w:rsid w:val="7A30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534</Characters>
  <Lines>6</Lines>
  <Paragraphs>1</Paragraphs>
  <TotalTime>18</TotalTime>
  <ScaleCrop>false</ScaleCrop>
  <LinksUpToDate>false</LinksUpToDate>
  <CharactersWithSpaces>549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2022-08-18T03:12:00Z</dcterms:created>
  <dc:creator>Administrator</dc:creator>
  <cp:lastModifiedBy>Pôle Sud</cp:lastModifiedBy>
  <cp:lastPrinted>2024-05-21T08:27:00Z</cp:lastPrinted>
  <dcterms:modified xsi:type="dcterms:W3CDTF">2024-05-24T08:36:44Z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2B9AD86E06874F83882CADD80965BA42</vt:lpwstr>
  </property>
</Properties>
</file>